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CENTRALE UNICA DI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Oggetto: </w:t>
                  </w:r>
                  <w:r w:rsidR="00162F43" w:rsidRPr="00162F4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SERVIZIO DI TESORERIA COMUNALE PER IL PERIODO DI ANNI CINQUE 01/01/2020 AL 31/12/2024 – COMUNE DI BELLA (PZ)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AA27FC" w:rsidRDefault="005E5DD7" w:rsidP="00AA27FC">
            <w:pPr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  <w:lang w:bidi="it-IT"/>
              </w:rPr>
            </w:pPr>
            <w:r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AA27FC" w:rsidRPr="00AA27FC">
              <w:rPr>
                <w:rFonts w:ascii="Calibri" w:hAnsi="Calibri" w:cs="Calibri"/>
                <w:b/>
                <w:bCs/>
                <w:iCs/>
                <w:sz w:val="22"/>
                <w:szCs w:val="22"/>
                <w:lang w:bidi="it-IT"/>
              </w:rPr>
              <w:t>Tasso di interesse debitore applicato sulle anticipazioni di Tesoreria</w:t>
            </w:r>
            <w:r w:rsidR="00AA27FC">
              <w:rPr>
                <w:rFonts w:ascii="Calibri" w:hAnsi="Calibri" w:cs="Calibri"/>
                <w:b/>
                <w:bCs/>
                <w:iCs/>
                <w:sz w:val="22"/>
                <w:szCs w:val="22"/>
                <w:lang w:bidi="it-IT"/>
              </w:rPr>
              <w:t xml:space="preserve"> </w:t>
            </w:r>
            <w:r w:rsidR="00162F43" w:rsidRPr="00162F4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3B1008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3B1008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3B1008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3B1008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AA27FC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lang w:bidi="it-IT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sul</w:t>
            </w:r>
            <w:r w:rsidR="00013100" w:rsidRPr="00013100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="00AA27FC" w:rsidRPr="00AA27FC">
              <w:rPr>
                <w:rFonts w:ascii="Calibri" w:hAnsi="Calibri" w:cs="Calibri"/>
                <w:bCs/>
                <w:iCs/>
                <w:sz w:val="22"/>
                <w:lang w:bidi="it-IT"/>
              </w:rPr>
              <w:t xml:space="preserve">Tasso di interesse debitore applicato sulle anticipazioni di Tesoreria </w:t>
            </w:r>
            <w:r w:rsidR="00AA27FC">
              <w:rPr>
                <w:rFonts w:ascii="Calibri" w:hAnsi="Calibri" w:cs="Calibri"/>
                <w:bCs/>
                <w:iCs/>
                <w:sz w:val="22"/>
              </w:rPr>
              <w:t xml:space="preserve">nell’ambito </w:t>
            </w:r>
            <w:r w:rsidR="00AA27FC" w:rsidRPr="00AA27FC">
              <w:rPr>
                <w:rFonts w:ascii="Calibri" w:hAnsi="Calibri" w:cs="Calibri"/>
                <w:bCs/>
                <w:iCs/>
                <w:sz w:val="22"/>
              </w:rPr>
              <w:t>dell’offerta Economicamente più vantaggiosa</w:t>
            </w:r>
            <w:r w:rsidRPr="00AA27FC">
              <w:rPr>
                <w:rFonts w:ascii="Calibri" w:hAnsi="Calibri" w:cs="Calibri"/>
                <w:bCs/>
                <w:sz w:val="22"/>
              </w:rPr>
              <w:t>,</w:t>
            </w:r>
            <w:r w:rsidR="00AA27FC">
              <w:rPr>
                <w:rFonts w:ascii="Calibri" w:hAnsi="Calibri" w:cs="Calibri"/>
                <w:bCs/>
                <w:sz w:val="22"/>
              </w:rPr>
              <w:t xml:space="preserve"> pari al:</w:t>
            </w:r>
            <w:r w:rsidRPr="00994900">
              <w:rPr>
                <w:rFonts w:ascii="Calibri" w:hAnsi="Calibri" w:cs="Calibri"/>
                <w:bCs/>
                <w:sz w:val="22"/>
              </w:rPr>
              <w:t>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 3°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5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25" w:rsidRDefault="00AD5625">
      <w:r>
        <w:separator/>
      </w:r>
    </w:p>
  </w:endnote>
  <w:endnote w:type="continuationSeparator" w:id="1">
    <w:p w:rsidR="00AD5625" w:rsidRDefault="00AD5625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6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25" w:rsidRDefault="00AD5625">
      <w:r>
        <w:separator/>
      </w:r>
    </w:p>
  </w:footnote>
  <w:footnote w:type="continuationSeparator" w:id="1">
    <w:p w:rsidR="00AD5625" w:rsidRDefault="00AD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0562C6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E - </w:t>
    </w:r>
    <w:r w:rsidR="00F43A1F">
      <w:rPr>
        <w:rFonts w:ascii="Calibri" w:hAnsi="Calibri" w:cs="Calibri"/>
        <w:b/>
        <w:bCs/>
        <w:iCs/>
        <w:color w:val="FF0000"/>
        <w:szCs w:val="18"/>
      </w:rPr>
      <w:t>Offerta T</w:t>
    </w:r>
    <w:r w:rsidR="00162F43">
      <w:rPr>
        <w:rFonts w:ascii="Calibri" w:hAnsi="Calibri" w:cs="Calibri"/>
        <w:b/>
        <w:bCs/>
        <w:iCs/>
        <w:color w:val="FF0000"/>
        <w:szCs w:val="18"/>
      </w:rPr>
      <w:t xml:space="preserve">asso interesse </w:t>
    </w:r>
    <w:r w:rsidR="00AA27FC">
      <w:rPr>
        <w:rFonts w:ascii="Calibri" w:hAnsi="Calibri" w:cs="Calibri"/>
        <w:b/>
        <w:bCs/>
        <w:iCs/>
        <w:color w:val="FF0000"/>
        <w:szCs w:val="18"/>
      </w:rPr>
      <w:t xml:space="preserve">passivo </w:t>
    </w:r>
    <w:r w:rsidR="00F43A1F">
      <w:rPr>
        <w:rFonts w:ascii="Calibri" w:hAnsi="Calibri" w:cs="Calibri"/>
        <w:b/>
        <w:bCs/>
        <w:iCs/>
        <w:color w:val="FF0000"/>
        <w:szCs w:val="18"/>
      </w:rPr>
      <w:t>nell’ambito dell’offerta Economicamente più vantaggiosa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13100"/>
    <w:rsid w:val="000366C6"/>
    <w:rsid w:val="00050F09"/>
    <w:rsid w:val="00054931"/>
    <w:rsid w:val="000562C6"/>
    <w:rsid w:val="00065BBB"/>
    <w:rsid w:val="000759B3"/>
    <w:rsid w:val="000772A5"/>
    <w:rsid w:val="000900C6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113B1C"/>
    <w:rsid w:val="00124843"/>
    <w:rsid w:val="00136261"/>
    <w:rsid w:val="001406D7"/>
    <w:rsid w:val="001473B3"/>
    <w:rsid w:val="00147D33"/>
    <w:rsid w:val="00156974"/>
    <w:rsid w:val="00162F43"/>
    <w:rsid w:val="001642CC"/>
    <w:rsid w:val="00177CBE"/>
    <w:rsid w:val="00180339"/>
    <w:rsid w:val="0018143C"/>
    <w:rsid w:val="001864AE"/>
    <w:rsid w:val="00190072"/>
    <w:rsid w:val="001C079C"/>
    <w:rsid w:val="001C4202"/>
    <w:rsid w:val="001D20BC"/>
    <w:rsid w:val="001E3A56"/>
    <w:rsid w:val="001E3A80"/>
    <w:rsid w:val="001E3D0A"/>
    <w:rsid w:val="001E42F4"/>
    <w:rsid w:val="001E454C"/>
    <w:rsid w:val="001F1440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DC4"/>
    <w:rsid w:val="002717E6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60230"/>
    <w:rsid w:val="00375013"/>
    <w:rsid w:val="00382D96"/>
    <w:rsid w:val="00385D3F"/>
    <w:rsid w:val="003923AF"/>
    <w:rsid w:val="003A402F"/>
    <w:rsid w:val="003B08D2"/>
    <w:rsid w:val="003B1008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65F9D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6824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7A9F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3B35"/>
    <w:rsid w:val="006A66E7"/>
    <w:rsid w:val="006D0439"/>
    <w:rsid w:val="006D18E8"/>
    <w:rsid w:val="006E25EE"/>
    <w:rsid w:val="006E26D7"/>
    <w:rsid w:val="006F330A"/>
    <w:rsid w:val="00710D0C"/>
    <w:rsid w:val="007265A3"/>
    <w:rsid w:val="0074489B"/>
    <w:rsid w:val="00757B7F"/>
    <w:rsid w:val="00761677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55177"/>
    <w:rsid w:val="00863E87"/>
    <w:rsid w:val="00874258"/>
    <w:rsid w:val="00881166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D141C"/>
    <w:rsid w:val="009E0166"/>
    <w:rsid w:val="009E5C85"/>
    <w:rsid w:val="00A00AA0"/>
    <w:rsid w:val="00A104B9"/>
    <w:rsid w:val="00A162B6"/>
    <w:rsid w:val="00A456A3"/>
    <w:rsid w:val="00A52FC1"/>
    <w:rsid w:val="00A83D0B"/>
    <w:rsid w:val="00AA0320"/>
    <w:rsid w:val="00AA27FC"/>
    <w:rsid w:val="00AB6F84"/>
    <w:rsid w:val="00AC5FC1"/>
    <w:rsid w:val="00AD51C5"/>
    <w:rsid w:val="00AD562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D05C91"/>
    <w:rsid w:val="00D41478"/>
    <w:rsid w:val="00D45C04"/>
    <w:rsid w:val="00D47122"/>
    <w:rsid w:val="00D5091B"/>
    <w:rsid w:val="00D56033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6188"/>
    <w:rsid w:val="00E3619E"/>
    <w:rsid w:val="00E51FF5"/>
    <w:rsid w:val="00E62D5A"/>
    <w:rsid w:val="00E8090B"/>
    <w:rsid w:val="00E8743D"/>
    <w:rsid w:val="00EA443A"/>
    <w:rsid w:val="00EA4917"/>
    <w:rsid w:val="00EB2F54"/>
    <w:rsid w:val="00ED311E"/>
    <w:rsid w:val="00EE3C6A"/>
    <w:rsid w:val="00EF0C53"/>
    <w:rsid w:val="00EF5542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5E39"/>
    <w:rsid w:val="00FD2405"/>
    <w:rsid w:val="00FD507B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8BEB-F0B0-403D-8FA7-8BABA10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Utente1</cp:lastModifiedBy>
  <cp:revision>3</cp:revision>
  <cp:lastPrinted>2018-10-15T11:33:00Z</cp:lastPrinted>
  <dcterms:created xsi:type="dcterms:W3CDTF">2019-12-11T09:33:00Z</dcterms:created>
  <dcterms:modified xsi:type="dcterms:W3CDTF">2019-12-11T09:40:00Z</dcterms:modified>
</cp:coreProperties>
</file>